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8"/>
          <w:szCs w:val="28"/>
        </w:rPr>
      </w:pPr>
      <w:r>
        <w:rPr>
          <w:rFonts w:hint="eastAsia" w:ascii="方正小标宋简体" w:hAnsi="宋体" w:eastAsia="方正小标宋简体"/>
          <w:color w:val="FF0000"/>
          <w:spacing w:val="-8"/>
          <w:w w:val="65"/>
          <w:kern w:val="10"/>
          <w:sz w:val="100"/>
          <w:szCs w:val="100"/>
        </w:rPr>
        <w:t>河北省风景园林行业协会</w:t>
      </w:r>
      <w:r>
        <w:rPr>
          <w:rFonts w:hint="eastAsia" w:ascii="方正小标宋简体" w:hAnsi="宋体" w:eastAsia="方正小标宋简体" w:cs="方正小标宋简体"/>
          <w:color w:val="FF0000"/>
          <w:spacing w:val="-20"/>
          <w:w w:val="70"/>
          <w:kern w:val="10"/>
          <w:sz w:val="100"/>
          <w:szCs w:val="100"/>
        </w:rPr>
        <w:t>文件</w:t>
      </w:r>
    </w:p>
    <w:p>
      <w:pPr>
        <w:jc w:val="center"/>
        <w:rPr>
          <w:rFonts w:hint="eastAsia" w:ascii="宋体" w:hAnsi="宋体" w:cs="宋体"/>
          <w:sz w:val="28"/>
          <w:szCs w:val="28"/>
        </w:rPr>
      </w:pPr>
    </w:p>
    <w:p>
      <w:pPr>
        <w:jc w:val="center"/>
        <w:rPr>
          <w:rFonts w:ascii="方正仿宋简体" w:eastAsia="方正仿宋简体" w:cs="Times New Roman"/>
          <w:sz w:val="32"/>
          <w:szCs w:val="32"/>
        </w:rPr>
      </w:pPr>
      <w:r>
        <w:rPr>
          <w:rFonts w:hint="eastAsia" w:ascii="宋体" w:hAnsi="宋体" w:cs="宋体"/>
          <w:sz w:val="28"/>
          <w:szCs w:val="28"/>
        </w:rPr>
        <w:t>冀园</w:t>
      </w:r>
      <w:r>
        <w:rPr>
          <w:rFonts w:hint="eastAsia" w:ascii="宋体" w:hAnsi="宋体" w:cs="宋体"/>
          <w:sz w:val="28"/>
          <w:szCs w:val="28"/>
          <w:lang w:eastAsia="zh-CN"/>
        </w:rPr>
        <w:t>协</w:t>
      </w:r>
      <w:r>
        <w:rPr>
          <w:rFonts w:hint="eastAsia" w:ascii="宋体" w:hAnsi="宋体" w:cs="宋体"/>
          <w:sz w:val="28"/>
          <w:szCs w:val="28"/>
        </w:rPr>
        <w:t>字</w:t>
      </w:r>
      <w:r>
        <w:rPr>
          <w:rFonts w:hint="eastAsia" w:ascii="宋体" w:hAnsi="宋体" w:eastAsia="宋体" w:cs="宋体"/>
          <w:sz w:val="28"/>
          <w:szCs w:val="28"/>
        </w:rPr>
        <w:t>﹝</w:t>
      </w:r>
      <w:r>
        <w:rPr>
          <w:rFonts w:ascii="宋体" w:hAnsi="宋体" w:cs="宋体"/>
          <w:sz w:val="28"/>
          <w:szCs w:val="28"/>
        </w:rPr>
        <w:t>202</w:t>
      </w:r>
      <w:r>
        <w:rPr>
          <w:rFonts w:hint="eastAsia" w:ascii="宋体" w:hAnsi="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cs="宋体"/>
          <w:sz w:val="28"/>
          <w:szCs w:val="28"/>
        </w:rPr>
        <w:t>号</w:t>
      </w:r>
    </w:p>
    <w:p>
      <w:pPr>
        <w:jc w:val="both"/>
        <w:rPr>
          <w:rFonts w:ascii="宋体" w:cs="Times New Roman"/>
          <w:sz w:val="28"/>
          <w:szCs w:val="28"/>
        </w:rPr>
      </w:pPr>
    </w:p>
    <w:p>
      <w:pPr>
        <w:spacing w:before="298" w:line="281" w:lineRule="auto"/>
        <w:ind w:right="16"/>
        <w:jc w:val="center"/>
        <w:rPr>
          <w:rFonts w:ascii="黑体" w:hAnsi="黑体" w:eastAsia="黑体" w:cs="黑体"/>
          <w:spacing w:val="9"/>
          <w:sz w:val="43"/>
          <w:szCs w:val="43"/>
          <w14:textOutline w14:w="7972" w14:cap="sq" w14:cmpd="sng">
            <w14:solidFill>
              <w14:srgbClr w14:val="000000"/>
            </w14:solidFill>
            <w14:prstDash w14:val="solid"/>
            <w14:bevel/>
          </w14:textOutline>
        </w:rPr>
      </w:pPr>
      <w: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95250</wp:posOffset>
                </wp:positionV>
                <wp:extent cx="6064885" cy="13970"/>
                <wp:effectExtent l="0" t="0" r="0" b="0"/>
                <wp:wrapNone/>
                <wp:docPr id="2" name="直线 2"/>
                <wp:cNvGraphicFramePr/>
                <a:graphic xmlns:a="http://schemas.openxmlformats.org/drawingml/2006/main">
                  <a:graphicData uri="http://schemas.microsoft.com/office/word/2010/wordprocessingShape">
                    <wps:wsp>
                      <wps:cNvCnPr/>
                      <wps:spPr>
                        <a:xfrm>
                          <a:off x="0" y="0"/>
                          <a:ext cx="6064885" cy="1397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9.85pt;margin-top:7.5pt;height:1.1pt;width:477.55pt;z-index:251660288;mso-width-relative:page;mso-height-relative:page;" filled="f" stroked="t" coordsize="21600,21600" o:gfxdata="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aNOrYAAAACQEAAA8AAAAAAAAAAQAgAAAAIgAAAGRycy9kb3ducmV2LnhtbFBLAQIUABQA&#10;AAAIAIdO4kDyr75q8AEAAOADAAAOAAAAAAAAAAEAIAAAACcBAABkcnMvZTJvRG9jLnhtbFBLBQYA&#10;AAAABgAGAFkBAACJBQAAAAA=&#10;">
                <v:fill on="f" focussize="0,0"/>
                <v:stroke weight="1.2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pPr>
      <w:r>
        <w:rPr>
          <w:rFonts w:hint="eastAsia" w:ascii="方正仿宋_GBK" w:hAnsi="方正仿宋_GBK" w:eastAsia="方正仿宋_GBK" w:cs="方正仿宋_GBK"/>
          <w:b w:val="0"/>
          <w:bCs w:val="0"/>
          <w:spacing w:val="9"/>
          <w:sz w:val="44"/>
          <w:szCs w:val="44"/>
          <w14:textOutline w14:w="7972" w14:cap="sq" w14:cmpd="sng">
            <w14:solidFill>
              <w14:srgbClr w14:val="000000"/>
            </w14:solidFill>
            <w14:prstDash w14:val="solid"/>
            <w14:bevel/>
          </w14:textOutline>
        </w:rPr>
        <w:t>关</w:t>
      </w:r>
      <w:r>
        <w:rPr>
          <w:rFonts w:hint="eastAsia" w:ascii="方正仿宋_GBK" w:hAnsi="方正仿宋_GBK" w:eastAsia="方正仿宋_GBK" w:cs="方正仿宋_GBK"/>
          <w:b w:val="0"/>
          <w:bCs w:val="0"/>
          <w:spacing w:val="5"/>
          <w:sz w:val="44"/>
          <w:szCs w:val="44"/>
          <w14:textOutline w14:w="7972" w14:cap="sq" w14:cmpd="sng">
            <w14:solidFill>
              <w14:srgbClr w14:val="000000"/>
            </w14:solidFill>
            <w14:prstDash w14:val="solid"/>
            <w14:bevel/>
          </w14:textOutline>
        </w:rPr>
        <w:t>于发布《</w:t>
      </w:r>
      <w:r>
        <w:rPr>
          <w:rFonts w:hint="eastAsia" w:ascii="方正仿宋_GBK" w:hAnsi="方正仿宋_GBK" w:eastAsia="方正仿宋_GBK" w:cs="方正仿宋_GBK"/>
          <w:b w:val="0"/>
          <w:bCs w:val="0"/>
          <w:spacing w:val="5"/>
          <w:sz w:val="44"/>
          <w:szCs w:val="44"/>
          <w:lang w:eastAsia="zh-CN"/>
          <w14:textOutline w14:w="7972" w14:cap="sq" w14:cmpd="sng">
            <w14:solidFill>
              <w14:srgbClr w14:val="000000"/>
            </w14:solidFill>
            <w14:prstDash w14:val="solid"/>
            <w14:bevel/>
          </w14:textOutline>
        </w:rPr>
        <w:t>河北</w:t>
      </w:r>
      <w:r>
        <w:rPr>
          <w:rFonts w:hint="eastAsia" w:ascii="方正仿宋_GBK" w:hAnsi="方正仿宋_GBK" w:eastAsia="方正仿宋_GBK" w:cs="方正仿宋_GBK"/>
          <w:b w:val="0"/>
          <w:bCs w:val="0"/>
          <w:spacing w:val="5"/>
          <w:sz w:val="44"/>
          <w:szCs w:val="44"/>
          <w14:textOutline w14:w="7972" w14:cap="sq" w14:cmpd="sng">
            <w14:solidFill>
              <w14:srgbClr w14:val="000000"/>
            </w14:solidFill>
            <w14:prstDash w14:val="solid"/>
            <w14:bevel/>
          </w14:textOutline>
        </w:rPr>
        <w:t>省风景园林</w:t>
      </w:r>
      <w:r>
        <w:rPr>
          <w:rFonts w:hint="eastAsia" w:ascii="方正仿宋_GBK" w:hAnsi="方正仿宋_GBK" w:eastAsia="方正仿宋_GBK" w:cs="方正仿宋_GBK"/>
          <w:b w:val="0"/>
          <w:bCs w:val="0"/>
          <w:spacing w:val="5"/>
          <w:sz w:val="44"/>
          <w:szCs w:val="44"/>
          <w:lang w:eastAsia="zh-CN"/>
          <w14:textOutline w14:w="7972" w14:cap="sq" w14:cmpd="sng">
            <w14:solidFill>
              <w14:srgbClr w14:val="000000"/>
            </w14:solidFill>
            <w14:prstDash w14:val="solid"/>
            <w14:bevel/>
          </w14:textOutline>
        </w:rPr>
        <w:t>行业</w:t>
      </w:r>
      <w:r>
        <w:rPr>
          <w:rFonts w:hint="eastAsia" w:ascii="方正仿宋_GBK" w:hAnsi="方正仿宋_GBK" w:eastAsia="方正仿宋_GBK" w:cs="方正仿宋_GBK"/>
          <w:b w:val="0"/>
          <w:bCs w:val="0"/>
          <w:spacing w:val="11"/>
          <w:sz w:val="44"/>
          <w:szCs w:val="44"/>
          <w14:textOutline w14:w="7972" w14:cap="sq" w14:cmpd="sng">
            <w14:solidFill>
              <w14:srgbClr w14:val="000000"/>
            </w14:solidFill>
            <w14:prstDash w14:val="solid"/>
            <w14:bevel/>
          </w14:textOutline>
        </w:rPr>
        <w:t>科</w:t>
      </w:r>
      <w:r>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t>学技术奖</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z w:val="43"/>
          <w:szCs w:val="43"/>
        </w:rPr>
      </w:pPr>
      <w:r>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t>奖励</w:t>
      </w:r>
      <w:r>
        <w:rPr>
          <w:rFonts w:hint="eastAsia" w:ascii="方正仿宋_GBK" w:hAnsi="方正仿宋_GBK" w:eastAsia="方正仿宋_GBK" w:cs="方正仿宋_GBK"/>
          <w:b w:val="0"/>
          <w:bCs w:val="0"/>
          <w:spacing w:val="10"/>
          <w:sz w:val="44"/>
          <w:szCs w:val="44"/>
          <w:lang w:eastAsia="zh-CN"/>
          <w14:textOutline w14:w="7972" w14:cap="sq" w14:cmpd="sng">
            <w14:solidFill>
              <w14:srgbClr w14:val="000000"/>
            </w14:solidFill>
            <w14:prstDash w14:val="solid"/>
            <w14:bevel/>
          </w14:textOutline>
        </w:rPr>
        <w:t>章程</w:t>
      </w:r>
      <w:r>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t>》的公告</w:t>
      </w:r>
    </w:p>
    <w:p>
      <w:pPr>
        <w:spacing w:line="245" w:lineRule="auto"/>
        <w:rPr>
          <w:rFonts w:ascii="Arial"/>
          <w:sz w:val="21"/>
        </w:rPr>
      </w:pPr>
    </w:p>
    <w:p>
      <w:pPr>
        <w:spacing w:line="24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7" w:firstLine="652"/>
        <w:textAlignment w:val="baseline"/>
        <w:rPr>
          <w:rFonts w:hint="eastAsia" w:ascii="仿宋" w:hAnsi="仿宋" w:eastAsia="仿宋" w:cs="仿宋"/>
          <w:spacing w:val="-14"/>
          <w:sz w:val="32"/>
          <w:szCs w:val="32"/>
        </w:rPr>
      </w:pPr>
      <w:r>
        <w:rPr>
          <w:rFonts w:hint="eastAsia" w:ascii="仿宋" w:hAnsi="仿宋" w:eastAsia="仿宋" w:cs="仿宋"/>
          <w:spacing w:val="16"/>
          <w:sz w:val="32"/>
          <w:szCs w:val="32"/>
        </w:rPr>
        <w:t>现</w:t>
      </w:r>
      <w:r>
        <w:rPr>
          <w:rFonts w:hint="eastAsia" w:ascii="仿宋" w:hAnsi="仿宋" w:eastAsia="仿宋" w:cs="仿宋"/>
          <w:spacing w:val="8"/>
          <w:sz w:val="32"/>
          <w:szCs w:val="32"/>
        </w:rPr>
        <w:t>发布《</w:t>
      </w:r>
      <w:r>
        <w:rPr>
          <w:rFonts w:hint="eastAsia" w:ascii="仿宋" w:hAnsi="仿宋" w:eastAsia="仿宋" w:cs="仿宋"/>
          <w:spacing w:val="8"/>
          <w:sz w:val="32"/>
          <w:szCs w:val="32"/>
          <w:lang w:eastAsia="zh-CN"/>
        </w:rPr>
        <w:t>河北</w:t>
      </w:r>
      <w:r>
        <w:rPr>
          <w:rFonts w:hint="eastAsia" w:ascii="仿宋" w:hAnsi="仿宋" w:eastAsia="仿宋" w:cs="仿宋"/>
          <w:spacing w:val="8"/>
          <w:sz w:val="32"/>
          <w:szCs w:val="32"/>
        </w:rPr>
        <w:t>省风景园林</w:t>
      </w:r>
      <w:r>
        <w:rPr>
          <w:rFonts w:hint="eastAsia" w:ascii="仿宋" w:hAnsi="仿宋" w:eastAsia="仿宋" w:cs="仿宋"/>
          <w:spacing w:val="8"/>
          <w:sz w:val="32"/>
          <w:szCs w:val="32"/>
          <w:lang w:eastAsia="zh-CN"/>
        </w:rPr>
        <w:t>行业</w:t>
      </w:r>
      <w:r>
        <w:rPr>
          <w:rFonts w:hint="eastAsia" w:ascii="仿宋" w:hAnsi="仿宋" w:eastAsia="仿宋" w:cs="仿宋"/>
          <w:spacing w:val="8"/>
          <w:sz w:val="32"/>
          <w:szCs w:val="32"/>
        </w:rPr>
        <w:t>科学技术奖奖</w:t>
      </w:r>
      <w:r>
        <w:rPr>
          <w:rFonts w:hint="eastAsia" w:ascii="仿宋" w:hAnsi="仿宋" w:eastAsia="仿宋" w:cs="仿宋"/>
          <w:spacing w:val="-19"/>
          <w:sz w:val="32"/>
          <w:szCs w:val="32"/>
        </w:rPr>
        <w:t>励</w:t>
      </w:r>
      <w:r>
        <w:rPr>
          <w:rFonts w:hint="eastAsia" w:ascii="仿宋" w:hAnsi="仿宋" w:eastAsia="仿宋" w:cs="仿宋"/>
          <w:spacing w:val="-19"/>
          <w:sz w:val="32"/>
          <w:szCs w:val="32"/>
          <w:lang w:eastAsia="zh-CN"/>
        </w:rPr>
        <w:t>章程</w:t>
      </w:r>
      <w:r>
        <w:rPr>
          <w:rFonts w:hint="eastAsia" w:ascii="仿宋" w:hAnsi="仿宋" w:eastAsia="仿宋" w:cs="仿宋"/>
          <w:spacing w:val="-19"/>
          <w:sz w:val="32"/>
          <w:szCs w:val="32"/>
        </w:rPr>
        <w:t>》</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 xml:space="preserve"> 自2023年</w:t>
      </w:r>
      <w:r>
        <w:rPr>
          <w:rFonts w:hint="eastAsia" w:ascii="仿宋" w:hAnsi="仿宋" w:eastAsia="仿宋" w:cs="仿宋"/>
          <w:spacing w:val="-19"/>
          <w:sz w:val="32"/>
          <w:szCs w:val="32"/>
          <w:lang w:val="en-US" w:eastAsia="zh-CN"/>
        </w:rPr>
        <w:t>7</w:t>
      </w:r>
      <w:r>
        <w:rPr>
          <w:rFonts w:hint="eastAsia" w:ascii="仿宋" w:hAnsi="仿宋" w:eastAsia="仿宋" w:cs="仿宋"/>
          <w:spacing w:val="-19"/>
          <w:sz w:val="32"/>
          <w:szCs w:val="32"/>
        </w:rPr>
        <w:t>月</w:t>
      </w:r>
      <w:r>
        <w:rPr>
          <w:rFonts w:hint="eastAsia" w:ascii="仿宋" w:hAnsi="仿宋" w:eastAsia="仿宋" w:cs="仿宋"/>
          <w:spacing w:val="-19"/>
          <w:sz w:val="32"/>
          <w:szCs w:val="32"/>
          <w:lang w:val="en-US" w:eastAsia="zh-CN"/>
        </w:rPr>
        <w:t>20</w:t>
      </w:r>
      <w:r>
        <w:rPr>
          <w:rFonts w:hint="eastAsia" w:ascii="仿宋" w:hAnsi="仿宋" w:eastAsia="仿宋" w:cs="仿宋"/>
          <w:spacing w:val="-19"/>
          <w:sz w:val="32"/>
          <w:szCs w:val="32"/>
        </w:rPr>
        <w:t>日起实施</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现予公告</w:t>
      </w:r>
      <w:r>
        <w:rPr>
          <w:rFonts w:hint="eastAsia" w:ascii="仿宋" w:hAnsi="仿宋" w:eastAsia="仿宋" w:cs="仿宋"/>
          <w:spacing w:val="-14"/>
          <w:sz w:val="32"/>
          <w:szCs w:val="32"/>
        </w:rPr>
        <w:t>。</w:t>
      </w:r>
    </w:p>
    <w:p>
      <w:pPr>
        <w:pStyle w:val="6"/>
        <w:rPr>
          <w:rFonts w:hint="eastAsia" w:ascii="仿宋" w:hAnsi="仿宋" w:eastAsia="仿宋" w:cs="仿宋"/>
          <w:spacing w:val="-14"/>
          <w:sz w:val="32"/>
          <w:szCs w:val="32"/>
        </w:rPr>
      </w:pPr>
    </w:p>
    <w:p>
      <w:pPr>
        <w:pStyle w:val="6"/>
        <w:ind w:firstLine="704" w:firstLineChars="200"/>
        <w:rPr>
          <w:rFonts w:hint="eastAsia" w:ascii="仿宋" w:hAnsi="仿宋" w:eastAsia="仿宋" w:cs="仿宋"/>
          <w:spacing w:val="-14"/>
          <w:sz w:val="32"/>
          <w:szCs w:val="32"/>
          <w:lang w:val="en-US" w:eastAsia="zh-CN"/>
        </w:rPr>
      </w:pPr>
      <w:r>
        <w:rPr>
          <w:rFonts w:hint="eastAsia" w:ascii="仿宋" w:hAnsi="仿宋" w:eastAsia="仿宋" w:cs="仿宋"/>
          <w:snapToGrid w:val="0"/>
          <w:color w:val="000000"/>
          <w:spacing w:val="16"/>
          <w:kern w:val="0"/>
          <w:sz w:val="32"/>
          <w:szCs w:val="32"/>
          <w:lang w:val="en-US" w:eastAsia="zh-CN"/>
        </w:rPr>
        <w:t>附件：河北省风景园林行业科学技术奖奖励章程</w:t>
      </w:r>
    </w:p>
    <w:p>
      <w:pPr>
        <w:spacing w:line="259" w:lineRule="auto"/>
        <w:rPr>
          <w:rFonts w:ascii="Arial"/>
          <w:sz w:val="21"/>
        </w:rPr>
      </w:pPr>
    </w:p>
    <w:p>
      <w:pPr>
        <w:spacing w:line="260" w:lineRule="auto"/>
        <w:rPr>
          <w:rFonts w:ascii="Arial"/>
          <w:sz w:val="21"/>
        </w:rPr>
      </w:pPr>
      <w:r>
        <w:rPr>
          <w:rFonts w:hint="eastAsia" w:ascii="仿宋" w:hAnsi="仿宋" w:eastAsia="仿宋" w:cs="仿宋"/>
          <w:b/>
          <w:sz w:val="32"/>
          <w:szCs w:val="32"/>
        </w:rPr>
        <w:drawing>
          <wp:anchor distT="0" distB="0" distL="114300" distR="114300" simplePos="0" relativeHeight="251661312" behindDoc="1" locked="0" layoutInCell="1" allowOverlap="1">
            <wp:simplePos x="0" y="0"/>
            <wp:positionH relativeFrom="column">
              <wp:posOffset>3662045</wp:posOffset>
            </wp:positionH>
            <wp:positionV relativeFrom="paragraph">
              <wp:posOffset>73660</wp:posOffset>
            </wp:positionV>
            <wp:extent cx="1466850" cy="1457325"/>
            <wp:effectExtent l="36830" t="0" r="67945" b="40005"/>
            <wp:wrapNone/>
            <wp:docPr id="1" name="图片 1" descr="F:\新建文件夹\桌面\会议\2017.05.25三届苗木会四届二次理事大会\河北省风景园林协会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新建文件夹\桌面\会议\2017.05.25三届苗木会四届二次理事大会\河北省风景园林协会电子章.png"/>
                    <pic:cNvPicPr>
                      <a:picLocks noChangeAspect="1" noChangeArrowheads="1"/>
                    </pic:cNvPicPr>
                  </pic:nvPicPr>
                  <pic:blipFill>
                    <a:blip r:embed="rId10" cstate="print"/>
                    <a:srcRect l="21004" t="24867" r="19537" b="32984"/>
                    <a:stretch>
                      <a:fillRect/>
                    </a:stretch>
                  </pic:blipFill>
                  <pic:spPr>
                    <a:xfrm rot="3360000">
                      <a:off x="0" y="0"/>
                      <a:ext cx="1466850" cy="1457325"/>
                    </a:xfrm>
                    <a:prstGeom prst="rect">
                      <a:avLst/>
                    </a:prstGeom>
                    <a:noFill/>
                    <a:ln w="9525">
                      <a:noFill/>
                      <a:miter lim="800000"/>
                      <a:headEnd/>
                      <a:tailEnd/>
                    </a:ln>
                  </pic:spPr>
                </pic:pic>
              </a:graphicData>
            </a:graphic>
          </wp:anchor>
        </w:drawing>
      </w:r>
    </w:p>
    <w:p>
      <w:pPr>
        <w:spacing w:line="260" w:lineRule="auto"/>
        <w:rPr>
          <w:rFonts w:ascii="Arial"/>
          <w:sz w:val="21"/>
        </w:rPr>
      </w:pPr>
    </w:p>
    <w:p>
      <w:pPr>
        <w:spacing w:line="260" w:lineRule="auto"/>
        <w:rPr>
          <w:rFonts w:ascii="Arial"/>
          <w:sz w:val="21"/>
        </w:rPr>
      </w:pPr>
    </w:p>
    <w:p>
      <w:pPr>
        <w:spacing w:before="133" w:line="188" w:lineRule="auto"/>
        <w:ind w:right="16"/>
        <w:jc w:val="center"/>
        <w:rPr>
          <w:rFonts w:hint="eastAsia" w:ascii="仿宋" w:hAnsi="仿宋" w:eastAsia="仿宋" w:cs="仿宋"/>
          <w:sz w:val="32"/>
          <w:szCs w:val="32"/>
        </w:rPr>
      </w:pPr>
      <w:r>
        <w:rPr>
          <w:rFonts w:hint="eastAsia" w:ascii="微软雅黑" w:hAnsi="微软雅黑" w:eastAsia="微软雅黑" w:cs="微软雅黑"/>
          <w:spacing w:val="9"/>
          <w:sz w:val="31"/>
          <w:szCs w:val="31"/>
          <w:lang w:val="en-US" w:eastAsia="zh-CN"/>
        </w:rPr>
        <w:t xml:space="preserve">                                                   </w:t>
      </w:r>
      <w:r>
        <w:rPr>
          <w:rFonts w:hint="eastAsia" w:ascii="仿宋" w:hAnsi="仿宋" w:eastAsia="仿宋" w:cs="仿宋"/>
          <w:spacing w:val="9"/>
          <w:sz w:val="32"/>
          <w:szCs w:val="32"/>
          <w:lang w:eastAsia="zh-CN"/>
        </w:rPr>
        <w:t>河北</w:t>
      </w:r>
      <w:r>
        <w:rPr>
          <w:rFonts w:hint="eastAsia" w:ascii="仿宋" w:hAnsi="仿宋" w:eastAsia="仿宋" w:cs="仿宋"/>
          <w:spacing w:val="9"/>
          <w:sz w:val="32"/>
          <w:szCs w:val="32"/>
        </w:rPr>
        <w:t>省风景园林</w:t>
      </w:r>
      <w:r>
        <w:rPr>
          <w:rFonts w:hint="eastAsia" w:ascii="仿宋" w:hAnsi="仿宋" w:eastAsia="仿宋" w:cs="仿宋"/>
          <w:spacing w:val="9"/>
          <w:sz w:val="32"/>
          <w:szCs w:val="32"/>
          <w:lang w:eastAsia="zh-CN"/>
        </w:rPr>
        <w:t>行业</w:t>
      </w:r>
      <w:r>
        <w:rPr>
          <w:rFonts w:hint="eastAsia" w:ascii="仿宋" w:hAnsi="仿宋" w:eastAsia="仿宋" w:cs="仿宋"/>
          <w:spacing w:val="9"/>
          <w:sz w:val="32"/>
          <w:szCs w:val="32"/>
        </w:rPr>
        <w:t>协会</w:t>
      </w:r>
    </w:p>
    <w:p>
      <w:pPr>
        <w:spacing w:before="207" w:line="188" w:lineRule="auto"/>
        <w:ind w:firstLine="6048" w:firstLineChars="2100"/>
        <w:sectPr>
          <w:headerReference r:id="rId5" w:type="default"/>
          <w:footerReference r:id="rId6" w:type="default"/>
          <w:pgSz w:w="11900" w:h="16838"/>
          <w:pgMar w:top="2098" w:right="1474" w:bottom="1984" w:left="1587" w:header="850" w:footer="850" w:gutter="0"/>
          <w:cols w:space="0" w:num="1"/>
          <w:rtlGutter w:val="0"/>
          <w:docGrid w:type="linesAndChars" w:linePitch="319" w:charSpace="0"/>
        </w:sectPr>
      </w:pPr>
      <w:r>
        <w:rPr>
          <w:rFonts w:hint="eastAsia" w:ascii="仿宋" w:hAnsi="仿宋" w:eastAsia="仿宋" w:cs="仿宋"/>
          <w:spacing w:val="-16"/>
          <w:sz w:val="32"/>
          <w:szCs w:val="32"/>
        </w:rPr>
        <w:t>2</w:t>
      </w:r>
      <w:r>
        <w:rPr>
          <w:rFonts w:hint="eastAsia" w:ascii="仿宋" w:hAnsi="仿宋" w:eastAsia="仿宋" w:cs="仿宋"/>
          <w:spacing w:val="-9"/>
          <w:sz w:val="32"/>
          <w:szCs w:val="32"/>
        </w:rPr>
        <w:t>0</w:t>
      </w:r>
      <w:r>
        <w:rPr>
          <w:rFonts w:hint="eastAsia" w:ascii="仿宋" w:hAnsi="仿宋" w:eastAsia="仿宋" w:cs="仿宋"/>
          <w:spacing w:val="-8"/>
          <w:sz w:val="32"/>
          <w:szCs w:val="32"/>
        </w:rPr>
        <w:t>23年</w:t>
      </w:r>
      <w:r>
        <w:rPr>
          <w:rFonts w:hint="eastAsia" w:ascii="仿宋" w:hAnsi="仿宋" w:eastAsia="仿宋" w:cs="仿宋"/>
          <w:spacing w:val="-8"/>
          <w:sz w:val="32"/>
          <w:szCs w:val="32"/>
          <w:lang w:val="en-US" w:eastAsia="zh-CN"/>
        </w:rPr>
        <w:t>7</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19</w:t>
      </w:r>
      <w:r>
        <w:rPr>
          <w:rFonts w:hint="eastAsia" w:ascii="仿宋" w:hAnsi="仿宋" w:eastAsia="仿宋" w:cs="仿宋"/>
          <w:spacing w:val="-8"/>
          <w:sz w:val="32"/>
          <w:szCs w:val="32"/>
        </w:rPr>
        <w:t>日</w:t>
      </w:r>
    </w:p>
    <w:p>
      <w:pPr>
        <w:spacing w:line="600" w:lineRule="exact"/>
        <w:jc w:val="both"/>
        <w:rPr>
          <w:rFonts w:hint="eastAsia" w:ascii="Times New Roman" w:hAnsi="Times New Roman" w:eastAsia="仿宋_GB2312" w:cs="Times New Roman"/>
          <w:kern w:val="0"/>
          <w:sz w:val="32"/>
          <w:szCs w:val="32"/>
          <w:lang w:val="en-US" w:eastAsia="zh-CN"/>
        </w:rPr>
      </w:pPr>
      <w:r>
        <w:rPr>
          <w:rFonts w:hint="eastAsia" w:ascii="仿宋" w:hAnsi="仿宋" w:eastAsia="仿宋" w:cs="仿宋"/>
          <w:kern w:val="0"/>
          <w:sz w:val="32"/>
          <w:szCs w:val="32"/>
          <w:lang w:val="en-US" w:eastAsia="zh-CN"/>
        </w:rPr>
        <w:t>附</w:t>
      </w:r>
      <w:r>
        <w:rPr>
          <w:rFonts w:hint="eastAsia" w:ascii="Times New Roman" w:hAnsi="Times New Roman" w:eastAsia="仿宋_GB2312" w:cs="Times New Roman"/>
          <w:kern w:val="0"/>
          <w:sz w:val="32"/>
          <w:szCs w:val="32"/>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pPr>
      <w:r>
        <w:rPr>
          <w:rFonts w:hint="eastAsia" w:ascii="方正仿宋_GBK" w:hAnsi="方正仿宋_GBK" w:eastAsia="方正仿宋_GBK" w:cs="方正仿宋_GBK"/>
          <w:b w:val="0"/>
          <w:bCs w:val="0"/>
          <w:spacing w:val="9"/>
          <w:sz w:val="44"/>
          <w:szCs w:val="44"/>
          <w14:textOutline w14:w="7972" w14:cap="sq" w14:cmpd="sng">
            <w14:solidFill>
              <w14:srgbClr w14:val="000000"/>
            </w14:solidFill>
            <w14:prstDash w14:val="solid"/>
            <w14:bevel/>
          </w14:textOutline>
        </w:rPr>
        <w:t>河北省风景园林行业科学技术奖</w:t>
      </w:r>
      <w:r>
        <w:rPr>
          <w:rFonts w:hint="eastAsia" w:ascii="方正仿宋_GBK" w:hAnsi="方正仿宋_GBK" w:eastAsia="方正仿宋_GBK" w:cs="方正仿宋_GBK"/>
          <w:b w:val="0"/>
          <w:bCs w:val="0"/>
          <w:spacing w:val="9"/>
          <w:sz w:val="44"/>
          <w:szCs w:val="44"/>
          <w:lang w:eastAsia="zh-CN"/>
          <w14:textOutline w14:w="7972" w14:cap="sq" w14:cmpd="sng">
            <w14:solidFill>
              <w14:srgbClr w14:val="000000"/>
            </w14:solidFill>
            <w14:prstDash w14:val="solid"/>
            <w14:bevel/>
          </w14:textOutline>
        </w:rPr>
        <w:t>奖</w:t>
      </w:r>
      <w:r>
        <w:rPr>
          <w:rFonts w:hint="eastAsia" w:ascii="方正仿宋_GBK" w:hAnsi="方正仿宋_GBK" w:eastAsia="方正仿宋_GBK" w:cs="方正仿宋_GBK"/>
          <w:b w:val="0"/>
          <w:bCs w:val="0"/>
          <w:spacing w:val="9"/>
          <w:sz w:val="44"/>
          <w:szCs w:val="44"/>
          <w14:textOutline w14:w="7972" w14:cap="sq" w14:cmpd="sng">
            <w14:solidFill>
              <w14:srgbClr w14:val="000000"/>
            </w14:solidFill>
            <w14:prstDash w14:val="solid"/>
            <w14:bevel/>
          </w14:textOutline>
        </w:rPr>
        <w:t>励章程</w:t>
      </w:r>
    </w:p>
    <w:p>
      <w:pPr>
        <w:spacing w:before="156" w:beforeLines="50" w:line="360" w:lineRule="auto"/>
        <w:jc w:val="center"/>
        <w:rPr>
          <w:rFonts w:hint="eastAsia" w:ascii="黑体" w:hAnsi="黑体" w:eastAsia="黑体"/>
          <w:b/>
          <w:sz w:val="28"/>
          <w:szCs w:val="28"/>
        </w:rPr>
      </w:pPr>
      <w:r>
        <w:rPr>
          <w:rFonts w:hint="eastAsia" w:ascii="楷体" w:hAnsi="楷体" w:eastAsia="楷体"/>
          <w:sz w:val="28"/>
          <w:szCs w:val="28"/>
        </w:rPr>
        <w:t xml:space="preserve"> </w:t>
      </w:r>
      <w:r>
        <w:rPr>
          <w:rFonts w:hint="eastAsia" w:ascii="黑体" w:hAnsi="黑体" w:eastAsia="黑体"/>
          <w:b/>
          <w:sz w:val="28"/>
          <w:szCs w:val="28"/>
        </w:rPr>
        <w:t xml:space="preserve"> </w:t>
      </w:r>
    </w:p>
    <w:p>
      <w:pPr>
        <w:spacing w:before="156" w:beforeLines="50" w:line="360" w:lineRule="auto"/>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第一章</w:t>
      </w:r>
      <w:r>
        <w:rPr>
          <w:rFonts w:hint="eastAsia" w:ascii="仿宋" w:hAnsi="仿宋" w:eastAsia="仿宋" w:cs="仿宋"/>
          <w:b/>
          <w:bCs/>
          <w:spacing w:val="8"/>
          <w:sz w:val="32"/>
          <w:szCs w:val="32"/>
          <w:lang w:val="en-US" w:eastAsia="zh-CN"/>
        </w:rPr>
        <w:t xml:space="preserve"> </w:t>
      </w:r>
      <w:r>
        <w:rPr>
          <w:rFonts w:hint="eastAsia" w:ascii="仿宋" w:hAnsi="仿宋" w:eastAsia="仿宋" w:cs="仿宋"/>
          <w:b/>
          <w:bCs/>
          <w:spacing w:val="8"/>
          <w:sz w:val="32"/>
          <w:szCs w:val="32"/>
        </w:rPr>
        <w:t>总则</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w:t>
      </w:r>
      <w:r>
        <w:rPr>
          <w:rFonts w:hint="eastAsia" w:ascii="仿宋" w:hAnsi="仿宋" w:eastAsia="仿宋" w:cs="仿宋"/>
          <w:color w:val="000000"/>
          <w:sz w:val="32"/>
          <w:szCs w:val="32"/>
        </w:rPr>
        <w:t>为贯彻国家创新驱动发展战略，提高风景园林行业科技创新能力，加快技术创新和科技进步步伐，促进科技成果转化和科技水平的提高，充分调动广大科技工作者的积极性和创造性，表彰和鼓励为技术进步做出突出贡献的单位和个人，</w:t>
      </w:r>
      <w:r>
        <w:rPr>
          <w:rFonts w:hint="eastAsia" w:ascii="仿宋" w:hAnsi="仿宋" w:eastAsia="仿宋" w:cs="仿宋"/>
          <w:sz w:val="32"/>
          <w:szCs w:val="32"/>
        </w:rPr>
        <w:t>根据</w:t>
      </w:r>
      <w:r>
        <w:rPr>
          <w:rFonts w:hint="eastAsia" w:ascii="仿宋" w:hAnsi="仿宋" w:eastAsia="仿宋" w:cs="仿宋"/>
          <w:color w:val="000000"/>
          <w:sz w:val="32"/>
          <w:szCs w:val="32"/>
          <w:lang w:eastAsia="zh-CN"/>
        </w:rPr>
        <w:t>《科技部关于进一步鼓励和规范社会力量设立科学技术奖的指导意见》（国科发奖〔2017〕196 号）、《中国风景园林学会﹝</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23号文件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《河北省科学技术奖励办法》和《河北省社会力量设立科学技术奖工作指引》，制定本章程。</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b/>
          <w:sz w:val="32"/>
          <w:szCs w:val="32"/>
        </w:rPr>
        <w:t>第二条</w:t>
      </w:r>
      <w:r>
        <w:rPr>
          <w:rFonts w:hint="eastAsia" w:ascii="仿宋" w:hAnsi="仿宋" w:eastAsia="仿宋" w:cs="仿宋"/>
          <w:sz w:val="32"/>
          <w:szCs w:val="32"/>
        </w:rPr>
        <w:t xml:space="preserve"> 河北省风景园林行业协会设立下列奖项</w:t>
      </w:r>
      <w:r>
        <w:rPr>
          <w:rFonts w:hint="eastAsia" w:ascii="仿宋" w:hAnsi="仿宋" w:eastAsia="仿宋" w:cs="仿宋"/>
          <w:sz w:val="32"/>
          <w:szCs w:val="32"/>
          <w:lang w:eastAsia="zh-CN"/>
        </w:rPr>
        <w:t>：</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一、科学技术建造师奖，不分等级；</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二、科学技术创新青年奖，不分等级；</w:t>
      </w:r>
    </w:p>
    <w:p>
      <w:pPr>
        <w:keepNext w:val="0"/>
        <w:keepLines w:val="0"/>
        <w:pageBreakBefore w:val="0"/>
        <w:wordWrap/>
        <w:overflowPunct/>
        <w:topLinePunct w:val="0"/>
        <w:bidi w:val="0"/>
        <w:adjustRightInd w:val="0"/>
        <w:spacing w:line="600" w:lineRule="exact"/>
        <w:ind w:left="638" w:leftChars="304" w:firstLine="0" w:firstLineChars="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、技术发明奖，分特等奖、一等奖、二等奖三个等级；</w:t>
      </w: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、科学技术进步奖，分“技术开发</w:t>
      </w:r>
      <w:r>
        <w:rPr>
          <w:rFonts w:hint="eastAsia" w:ascii="仿宋" w:hAnsi="仿宋" w:eastAsia="仿宋" w:cs="仿宋"/>
          <w:b w:val="0"/>
          <w:bCs w:val="0"/>
          <w:color w:val="auto"/>
          <w:sz w:val="32"/>
          <w:szCs w:val="32"/>
          <w:lang w:eastAsia="zh-CN"/>
        </w:rPr>
        <w:t>奖</w:t>
      </w:r>
      <w:r>
        <w:rPr>
          <w:rFonts w:hint="eastAsia" w:ascii="仿宋" w:hAnsi="仿宋" w:eastAsia="仿宋" w:cs="仿宋"/>
          <w:b w:val="0"/>
          <w:bCs w:val="0"/>
          <w:color w:val="auto"/>
          <w:sz w:val="32"/>
          <w:szCs w:val="32"/>
        </w:rPr>
        <w:t>”、“规划设计</w:t>
      </w:r>
      <w:r>
        <w:rPr>
          <w:rFonts w:hint="eastAsia" w:ascii="仿宋" w:hAnsi="仿宋" w:eastAsia="仿宋" w:cs="仿宋"/>
          <w:b w:val="0"/>
          <w:bCs w:val="0"/>
          <w:color w:val="auto"/>
          <w:sz w:val="32"/>
          <w:szCs w:val="32"/>
          <w:lang w:eastAsia="zh-CN"/>
        </w:rPr>
        <w:t>奖</w:t>
      </w:r>
      <w:r>
        <w:rPr>
          <w:rFonts w:hint="eastAsia" w:ascii="仿宋" w:hAnsi="仿宋" w:eastAsia="仿宋" w:cs="仿宋"/>
          <w:b w:val="0"/>
          <w:bCs w:val="0"/>
          <w:color w:val="auto"/>
          <w:sz w:val="32"/>
          <w:szCs w:val="32"/>
        </w:rPr>
        <w:t>”和“</w:t>
      </w:r>
      <w:r>
        <w:rPr>
          <w:rFonts w:hint="eastAsia" w:ascii="仿宋" w:hAnsi="仿宋" w:eastAsia="仿宋" w:cs="仿宋"/>
          <w:b w:val="0"/>
          <w:bCs w:val="0"/>
          <w:color w:val="auto"/>
          <w:sz w:val="32"/>
          <w:szCs w:val="32"/>
          <w:lang w:eastAsia="zh-CN"/>
        </w:rPr>
        <w:t>园林</w:t>
      </w:r>
      <w:r>
        <w:rPr>
          <w:rFonts w:hint="eastAsia" w:ascii="仿宋" w:hAnsi="仿宋" w:eastAsia="仿宋" w:cs="仿宋"/>
          <w:b w:val="0"/>
          <w:bCs w:val="0"/>
          <w:color w:val="auto"/>
          <w:sz w:val="32"/>
          <w:szCs w:val="32"/>
        </w:rPr>
        <w:t>工程</w:t>
      </w:r>
      <w:r>
        <w:rPr>
          <w:rFonts w:hint="eastAsia" w:ascii="仿宋" w:hAnsi="仿宋" w:eastAsia="仿宋" w:cs="仿宋"/>
          <w:b w:val="0"/>
          <w:bCs w:val="0"/>
          <w:color w:val="auto"/>
          <w:sz w:val="32"/>
          <w:szCs w:val="32"/>
          <w:lang w:eastAsia="zh-CN"/>
        </w:rPr>
        <w:t>奖</w:t>
      </w:r>
      <w:r>
        <w:rPr>
          <w:rFonts w:hint="eastAsia" w:ascii="仿宋" w:hAnsi="仿宋" w:eastAsia="仿宋" w:cs="仿宋"/>
          <w:b w:val="0"/>
          <w:bCs w:val="0"/>
          <w:color w:val="auto"/>
          <w:sz w:val="32"/>
          <w:szCs w:val="32"/>
        </w:rPr>
        <w:t>”三类，分为特等奖、一等奖、二等奖三个等级。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kern w:val="0"/>
          <w:sz w:val="32"/>
          <w:szCs w:val="32"/>
        </w:rPr>
        <w:t>本奖项授予在河北省风景园林行业从事科学研究、技术发明、技术开发、完成重大科学技术工程和社会公益性项目等方面作出创造性贡献的组织和个人，</w:t>
      </w:r>
      <w:r>
        <w:rPr>
          <w:rFonts w:hint="eastAsia" w:ascii="仿宋" w:hAnsi="仿宋" w:eastAsia="仿宋" w:cs="仿宋"/>
          <w:b w:val="0"/>
          <w:bCs w:val="0"/>
          <w:color w:val="auto"/>
          <w:sz w:val="32"/>
          <w:szCs w:val="32"/>
        </w:rPr>
        <w:t>旨在提高风景园林领域的自主创新能力和水平。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四</w:t>
      </w:r>
      <w:r>
        <w:rPr>
          <w:rFonts w:hint="eastAsia" w:ascii="仿宋" w:hAnsi="仿宋" w:eastAsia="仿宋" w:cs="仿宋"/>
          <w:b/>
          <w:sz w:val="32"/>
          <w:szCs w:val="32"/>
        </w:rPr>
        <w:t>条</w:t>
      </w:r>
      <w:r>
        <w:rPr>
          <w:rFonts w:hint="eastAsia" w:ascii="仿宋" w:hAnsi="仿宋" w:eastAsia="仿宋" w:cs="仿宋"/>
          <w:sz w:val="32"/>
          <w:szCs w:val="32"/>
        </w:rPr>
        <w:t xml:space="preserve"> 本奖项评选工作遵循公开、公平、公正原则，其评审和表彰工作不受任何组织或个人的干涉</w:t>
      </w:r>
      <w:r>
        <w:rPr>
          <w:rFonts w:hint="eastAsia" w:ascii="仿宋" w:hAnsi="仿宋" w:eastAsia="仿宋" w:cs="仿宋"/>
          <w:sz w:val="32"/>
          <w:szCs w:val="32"/>
          <w:lang w:eastAsia="zh-CN"/>
        </w:rPr>
        <w:t>。</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五</w:t>
      </w:r>
      <w:r>
        <w:rPr>
          <w:rFonts w:hint="eastAsia" w:ascii="仿宋" w:hAnsi="仿宋" w:eastAsia="仿宋" w:cs="仿宋"/>
          <w:b/>
          <w:sz w:val="32"/>
          <w:szCs w:val="32"/>
        </w:rPr>
        <w:t>条</w:t>
      </w:r>
      <w:r>
        <w:rPr>
          <w:rFonts w:hint="eastAsia" w:ascii="仿宋" w:hAnsi="仿宋" w:eastAsia="仿宋" w:cs="仿宋"/>
          <w:sz w:val="32"/>
          <w:szCs w:val="32"/>
        </w:rPr>
        <w:t xml:space="preserve"> 本奖项每年评选一次。</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本奖项评选工作由河北省风景园林行业专家委员会（简称专家委员会）负责组织实施。</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本奖是</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协会授予获奖单位和个人的荣誉，授奖证书不作为确定科学技术成果权属的直接依据。</w:t>
      </w:r>
    </w:p>
    <w:p>
      <w:pPr>
        <w:keepNext w:val="0"/>
        <w:keepLines w:val="0"/>
        <w:pageBreakBefore w:val="0"/>
        <w:wordWrap/>
        <w:overflowPunct/>
        <w:topLinePunct w:val="0"/>
        <w:bidi w:val="0"/>
        <w:adjustRightInd w:val="0"/>
        <w:spacing w:line="600" w:lineRule="exact"/>
        <w:ind w:firstLine="640" w:firstLineChars="200"/>
        <w:jc w:val="left"/>
        <w:rPr>
          <w:rFonts w:ascii="华文仿宋" w:hAnsi="华文仿宋" w:eastAsia="华文仿宋"/>
          <w:sz w:val="28"/>
          <w:szCs w:val="28"/>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评奖经费由</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协会筹措，评选过程中不收取评选对象任何费用。</w:t>
      </w:r>
    </w:p>
    <w:p>
      <w:pPr>
        <w:keepNext w:val="0"/>
        <w:keepLines w:val="0"/>
        <w:pageBreakBefore w:val="0"/>
        <w:wordWrap/>
        <w:overflowPunct/>
        <w:topLinePunct w:val="0"/>
        <w:bidi w:val="0"/>
        <w:adjustRightInd w:val="0"/>
        <w:spacing w:line="600" w:lineRule="exact"/>
        <w:ind w:left="640"/>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第二章 管理及评审组织</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九</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color w:val="000000"/>
          <w:sz w:val="32"/>
          <w:szCs w:val="32"/>
        </w:rPr>
        <w:t>专家委员会秘书处负责科技奖的日常咨询、受理、形式审查工作。</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第十条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专家委员会组建科技奖评审委员会，负责科技奖评审等工作，向省园林协会推荐获奖项目名单。</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协会组建科技奖审定委员会，</w:t>
      </w:r>
      <w:r>
        <w:rPr>
          <w:rFonts w:hint="eastAsia" w:ascii="仿宋" w:hAnsi="仿宋" w:eastAsia="仿宋" w:cs="仿宋"/>
          <w:color w:val="000000"/>
          <w:sz w:val="32"/>
          <w:szCs w:val="32"/>
        </w:rPr>
        <w:t>负责科技奖获奖项目的最终审定工作。</w:t>
      </w:r>
    </w:p>
    <w:p>
      <w:pPr>
        <w:keepNext w:val="0"/>
        <w:keepLines w:val="0"/>
        <w:pageBreakBefore w:val="0"/>
        <w:wordWrap/>
        <w:overflowPunct/>
        <w:topLinePunct w:val="0"/>
        <w:bidi w:val="0"/>
        <w:adjustRightInd w:val="0"/>
        <w:spacing w:line="600" w:lineRule="exact"/>
        <w:ind w:left="640"/>
        <w:jc w:val="center"/>
        <w:rPr>
          <w:rFonts w:hint="eastAsia" w:ascii="仿宋" w:hAnsi="仿宋" w:eastAsia="仿宋" w:cs="仿宋"/>
          <w:b/>
          <w:sz w:val="32"/>
          <w:szCs w:val="32"/>
        </w:rPr>
      </w:pPr>
      <w:r>
        <w:rPr>
          <w:rFonts w:hint="eastAsia" w:ascii="仿宋" w:hAnsi="仿宋" w:eastAsia="仿宋" w:cs="仿宋"/>
          <w:b/>
          <w:bCs/>
          <w:spacing w:val="8"/>
          <w:sz w:val="32"/>
          <w:szCs w:val="32"/>
        </w:rPr>
        <w:t>第三章 受理程序</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本奖项由下列单位或专家提名。</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一、相关行业协（学）会提名；</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color w:val="auto"/>
          <w:sz w:val="32"/>
          <w:szCs w:val="32"/>
        </w:rPr>
      </w:pPr>
      <w:r>
        <w:rPr>
          <w:rFonts w:hint="eastAsia" w:ascii="仿宋" w:hAnsi="仿宋" w:eastAsia="仿宋" w:cs="仿宋"/>
          <w:color w:val="auto"/>
          <w:sz w:val="32"/>
          <w:szCs w:val="32"/>
        </w:rPr>
        <w:t>二、各设区市（含辛集市、定州市、华北油田）、雄安新区园林绿化行业管理部门或协（学）会；</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三、中央企业和省国资委管理</w:t>
      </w:r>
      <w:r>
        <w:rPr>
          <w:rFonts w:hint="eastAsia" w:ascii="仿宋" w:hAnsi="仿宋" w:eastAsia="仿宋" w:cs="仿宋"/>
          <w:sz w:val="32"/>
          <w:szCs w:val="32"/>
          <w:lang w:eastAsia="zh-CN"/>
        </w:rPr>
        <w:t>的</w:t>
      </w:r>
      <w:r>
        <w:rPr>
          <w:rFonts w:hint="eastAsia" w:ascii="仿宋" w:hAnsi="仿宋" w:eastAsia="仿宋" w:cs="仿宋"/>
          <w:sz w:val="32"/>
          <w:szCs w:val="32"/>
        </w:rPr>
        <w:t>国有企业；</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四、五名以上相关专业正高级技术职称专家联合提名。</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申报单位在提名单位（专家）同意提名后，需填写《河北省风景园林行业科学技术奖申报书》。</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四</w:t>
      </w:r>
      <w:r>
        <w:rPr>
          <w:rFonts w:hint="eastAsia" w:ascii="仿宋" w:hAnsi="仿宋" w:eastAsia="仿宋" w:cs="仿宋"/>
          <w:b/>
          <w:sz w:val="32"/>
          <w:szCs w:val="32"/>
        </w:rPr>
        <w:t>条</w:t>
      </w:r>
      <w:r>
        <w:rPr>
          <w:rFonts w:hint="eastAsia" w:ascii="仿宋" w:hAnsi="仿宋" w:eastAsia="仿宋" w:cs="仿宋"/>
          <w:sz w:val="32"/>
          <w:szCs w:val="32"/>
        </w:rPr>
        <w:t xml:space="preserve"> 提名单位（专家）负责对申报资料进行认真的检查、审核，严格审核证明材料的完整性、真实性和可靠性，提出提名意见后，报专家委员会秘书处。</w:t>
      </w:r>
    </w:p>
    <w:p>
      <w:pPr>
        <w:keepNext w:val="0"/>
        <w:keepLines w:val="0"/>
        <w:pageBreakBefore w:val="0"/>
        <w:wordWrap/>
        <w:overflowPunct/>
        <w:topLinePunct w:val="0"/>
        <w:bidi w:val="0"/>
        <w:adjustRightInd w:val="0"/>
        <w:spacing w:line="600" w:lineRule="exact"/>
        <w:ind w:firstLine="723" w:firstLineChars="226"/>
        <w:rPr>
          <w:rFonts w:hint="eastAsia" w:ascii="华文仿宋" w:hAnsi="华文仿宋" w:eastAsia="华文仿宋"/>
          <w:sz w:val="28"/>
          <w:szCs w:val="28"/>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五</w:t>
      </w:r>
      <w:r>
        <w:rPr>
          <w:rFonts w:hint="eastAsia" w:ascii="仿宋" w:hAnsi="仿宋" w:eastAsia="仿宋" w:cs="仿宋"/>
          <w:b/>
          <w:sz w:val="32"/>
          <w:szCs w:val="32"/>
        </w:rPr>
        <w:t>条</w:t>
      </w:r>
      <w:r>
        <w:rPr>
          <w:rFonts w:hint="eastAsia" w:ascii="仿宋" w:hAnsi="仿宋" w:eastAsia="仿宋" w:cs="仿宋"/>
          <w:sz w:val="32"/>
          <w:szCs w:val="32"/>
        </w:rPr>
        <w:t xml:space="preserve"> 申报项目资料经专家委员会秘书处审查合格后，方可进入评审程序。</w:t>
      </w:r>
    </w:p>
    <w:p>
      <w:pPr>
        <w:spacing w:before="156" w:beforeLines="50" w:line="360" w:lineRule="auto"/>
        <w:jc w:val="center"/>
        <w:rPr>
          <w:rFonts w:hint="eastAsia" w:ascii="仿宋" w:hAnsi="仿宋" w:eastAsia="仿宋" w:cs="仿宋"/>
          <w:b/>
          <w:bCs/>
          <w:spacing w:val="8"/>
          <w:sz w:val="32"/>
          <w:szCs w:val="32"/>
        </w:rPr>
      </w:pPr>
      <w:r>
        <w:rPr>
          <w:rFonts w:hint="eastAsia" w:ascii="仿宋" w:hAnsi="仿宋" w:eastAsia="仿宋" w:cs="仿宋"/>
          <w:b/>
          <w:bCs/>
          <w:spacing w:val="8"/>
          <w:sz w:val="32"/>
          <w:szCs w:val="32"/>
          <w:lang w:val="en-US" w:eastAsia="zh-CN"/>
        </w:rPr>
        <w:t>第四章</w:t>
      </w:r>
      <w:r>
        <w:rPr>
          <w:rFonts w:hint="eastAsia" w:ascii="仿宋" w:hAnsi="仿宋" w:eastAsia="仿宋" w:cs="仿宋"/>
          <w:b/>
          <w:bCs/>
          <w:spacing w:val="8"/>
          <w:sz w:val="32"/>
          <w:szCs w:val="32"/>
        </w:rPr>
        <w:t xml:space="preserve"> 评审程序及标准</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评审程序</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形式审查、专业组初评（或网评）、评审委员会评审、审定委员会审定、获奖名单公示、公布获奖名单。</w:t>
      </w:r>
    </w:p>
    <w:p>
      <w:pPr>
        <w:keepNext w:val="0"/>
        <w:keepLines w:val="0"/>
        <w:pageBreakBefore w:val="0"/>
        <w:wordWrap/>
        <w:overflowPunct/>
        <w:topLinePunct w:val="0"/>
        <w:bidi w:val="0"/>
        <w:adjustRightInd w:val="0"/>
        <w:spacing w:line="600" w:lineRule="exact"/>
        <w:ind w:firstLine="636" w:firstLineChars="199"/>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评审标准</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sz w:val="32"/>
          <w:szCs w:val="32"/>
        </w:rPr>
        <w:t>科技奖评审委员会根据科技成果技术难度、创新程度、技术水平、对工程技术进步的推动作用及其经济效益和社会效益等综合评定获奖等级。申报评奖的单位和候选人所在单位应是</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协会会员单位。</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shd w:val="clear" w:color="auto" w:fill="FFFFFF"/>
        </w:rPr>
        <w:t>科学技术建造师奖</w:t>
      </w:r>
      <w:r>
        <w:rPr>
          <w:rFonts w:hint="eastAsia" w:ascii="仿宋" w:hAnsi="仿宋" w:eastAsia="仿宋" w:cs="仿宋"/>
          <w:kern w:val="0"/>
          <w:sz w:val="32"/>
          <w:szCs w:val="32"/>
          <w:shd w:val="clear" w:color="auto" w:fill="FFFFFF"/>
        </w:rPr>
        <w:t>授予主持过多项大型风景园林工程建设项目的施工组织或技术管理工作，在工程质量管理、技术创新、新技术推广应用以及解决重大施工建设技术难题方面成效显著的注册建造师</w:t>
      </w:r>
      <w:r>
        <w:rPr>
          <w:rFonts w:hint="eastAsia" w:ascii="仿宋" w:hAnsi="仿宋" w:eastAsia="仿宋" w:cs="仿宋"/>
          <w:sz w:val="32"/>
          <w:szCs w:val="32"/>
        </w:rPr>
        <w:t>。</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 w:val="0"/>
          <w:bCs w:val="0"/>
          <w:kern w:val="0"/>
          <w:sz w:val="32"/>
          <w:szCs w:val="32"/>
          <w:shd w:val="clear" w:color="auto" w:fill="FFFFFF"/>
          <w:lang w:eastAsia="zh-CN"/>
        </w:rPr>
        <w:t>二</w:t>
      </w:r>
      <w:r>
        <w:rPr>
          <w:rFonts w:hint="eastAsia" w:ascii="仿宋" w:hAnsi="仿宋" w:eastAsia="仿宋" w:cs="仿宋"/>
          <w:b w:val="0"/>
          <w:bCs w:val="0"/>
          <w:kern w:val="0"/>
          <w:sz w:val="32"/>
          <w:szCs w:val="32"/>
          <w:shd w:val="clear" w:color="auto" w:fill="FFFFFF"/>
        </w:rPr>
        <w:t>、科学技术创新青年奖</w:t>
      </w:r>
      <w:r>
        <w:rPr>
          <w:rFonts w:hint="eastAsia" w:ascii="仿宋" w:hAnsi="仿宋" w:eastAsia="仿宋" w:cs="仿宋"/>
          <w:kern w:val="0"/>
          <w:sz w:val="32"/>
          <w:szCs w:val="32"/>
          <w:shd w:val="clear" w:color="auto" w:fill="FFFFFF"/>
        </w:rPr>
        <w:t>在应用技术研究中取得发明创造或者关键技术，在先进技术推广应用、解决重大工程建设难题方面做出贡献，并创造显著经济社会效益的青年科技工作者，年龄不超过45岁</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val="0"/>
          <w:bCs w:val="0"/>
          <w:kern w:val="0"/>
          <w:sz w:val="32"/>
          <w:szCs w:val="32"/>
          <w:shd w:val="clear" w:color="auto" w:fill="FFFFFF"/>
          <w:lang w:val="en-US" w:eastAsia="zh-CN" w:bidi="ar-SA"/>
        </w:rPr>
        <w:t xml:space="preserve">  三、技术发明奖授予运用科学技术知识，在风景园林行业管理中总结出新的管理模式或在施工中创造出新的园林技术，或对已有园林技术进行了创造性改进的组织和个人。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、科学技术进步奖</w:t>
      </w:r>
      <w:r>
        <w:rPr>
          <w:rFonts w:hint="eastAsia" w:ascii="仿宋" w:hAnsi="仿宋" w:eastAsia="仿宋" w:cs="仿宋"/>
          <w:sz w:val="32"/>
          <w:szCs w:val="32"/>
        </w:rPr>
        <w:t>授予在应用推广先进科技成果、完成科研攻关、规划设计或建设项目等方面，做出突出贡献的组织和个人，包括：</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（一）在实施技术开发或推广建设工程信息化应用中，完成科学技术创新、科学技术成果转化，创造显著社会和经济效益的；</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（二）在完成省级以上重点工程项目中，最大限度的应用前沿技术，并取得了新的重大科技创新成果，使工程建设项目整体科技水平达到国内先进水平及以上的。</w:t>
      </w:r>
    </w:p>
    <w:p>
      <w:pPr>
        <w:keepNext w:val="0"/>
        <w:keepLines w:val="0"/>
        <w:pageBreakBefore w:val="0"/>
        <w:wordWrap/>
        <w:overflowPunct/>
        <w:topLinePunct w:val="0"/>
        <w:bidi w:val="0"/>
        <w:adjustRightInd w:val="0"/>
        <w:spacing w:line="600" w:lineRule="exact"/>
        <w:ind w:firstLine="636" w:firstLineChars="199"/>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专家委员会依据本章程和评审细则进行评审，并向科技奖评审委员会推荐奖励名单。</w:t>
      </w:r>
    </w:p>
    <w:p>
      <w:pPr>
        <w:keepNext w:val="0"/>
        <w:keepLines w:val="0"/>
        <w:pageBreakBefore w:val="0"/>
        <w:wordWrap/>
        <w:overflowPunct/>
        <w:topLinePunct w:val="0"/>
        <w:bidi w:val="0"/>
        <w:adjustRightInd w:val="0"/>
        <w:spacing w:line="600" w:lineRule="exact"/>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第五章 公示与异议处理</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十九</w:t>
      </w:r>
      <w:r>
        <w:rPr>
          <w:rFonts w:hint="eastAsia" w:ascii="仿宋" w:hAnsi="仿宋" w:eastAsia="仿宋" w:cs="仿宋"/>
          <w:b/>
          <w:sz w:val="32"/>
          <w:szCs w:val="32"/>
        </w:rPr>
        <w:t>条</w:t>
      </w:r>
      <w:r>
        <w:rPr>
          <w:rFonts w:hint="eastAsia" w:ascii="仿宋" w:hAnsi="仿宋" w:eastAsia="仿宋" w:cs="仿宋"/>
          <w:sz w:val="32"/>
          <w:szCs w:val="32"/>
        </w:rPr>
        <w:t xml:space="preserve"> 本奖项实行公示和异议制度，接受社会和行业的监督。评审结果在河北省风景园林行业协会官网和微信公众号上进行公示，公示期为10个自然日，公示期内，任何单位或个人均可对获奖项目中的弄虚作假、剽窃等问题，向专家委员会秘书处提出书面异议，异议书应包括以下内容：</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一、异议内容及有关异议的事实依据；</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二、以单位名义提出异议的，应写明单位名称、法定代表人、联系人、通信地址、联系电话和传真，并加盖单位公章；</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三、以个人名义提出异议的，应写明本人真实姓名、身份证号码、通信地址、联系电话，并由本人签名。</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异议内容由专家委员会秘书处组织相关专家进行调查核实，并提出处理意见，报</w:t>
      </w:r>
      <w:r>
        <w:rPr>
          <w:rFonts w:hint="eastAsia" w:ascii="仿宋" w:hAnsi="仿宋" w:eastAsia="仿宋" w:cs="仿宋"/>
          <w:sz w:val="32"/>
          <w:szCs w:val="32"/>
          <w:lang w:eastAsia="zh-CN"/>
        </w:rPr>
        <w:t>河北</w:t>
      </w:r>
      <w:r>
        <w:rPr>
          <w:rFonts w:hint="eastAsia" w:ascii="仿宋" w:hAnsi="仿宋" w:eastAsia="仿宋" w:cs="仿宋"/>
          <w:sz w:val="32"/>
          <w:szCs w:val="32"/>
        </w:rPr>
        <w:t>省园林</w:t>
      </w:r>
      <w:r>
        <w:rPr>
          <w:rFonts w:hint="eastAsia" w:ascii="仿宋" w:hAnsi="仿宋" w:eastAsia="仿宋" w:cs="仿宋"/>
          <w:sz w:val="32"/>
          <w:szCs w:val="32"/>
          <w:lang w:eastAsia="zh-CN"/>
        </w:rPr>
        <w:t>行业</w:t>
      </w:r>
      <w:r>
        <w:rPr>
          <w:rFonts w:hint="eastAsia" w:ascii="仿宋" w:hAnsi="仿宋" w:eastAsia="仿宋" w:cs="仿宋"/>
          <w:sz w:val="32"/>
          <w:szCs w:val="32"/>
        </w:rPr>
        <w:t>协会</w:t>
      </w:r>
      <w:r>
        <w:rPr>
          <w:rFonts w:hint="eastAsia" w:ascii="仿宋" w:hAnsi="仿宋" w:eastAsia="仿宋" w:cs="仿宋"/>
          <w:sz w:val="32"/>
          <w:szCs w:val="32"/>
          <w:lang w:eastAsia="zh-CN"/>
        </w:rPr>
        <w:t>理事</w:t>
      </w:r>
      <w:r>
        <w:rPr>
          <w:rFonts w:hint="eastAsia" w:ascii="仿宋" w:hAnsi="仿宋" w:eastAsia="仿宋" w:cs="仿宋"/>
          <w:sz w:val="32"/>
          <w:szCs w:val="32"/>
        </w:rPr>
        <w:t>长办公会审定后，将处理意见通知异议方和提名单位。</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第二十</w:t>
      </w:r>
      <w:bookmarkStart w:id="0" w:name="_GoBack"/>
      <w:bookmarkEnd w:id="0"/>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公示无异议的获奖项目，经</w:t>
      </w:r>
      <w:r>
        <w:rPr>
          <w:rFonts w:hint="eastAsia" w:ascii="仿宋" w:hAnsi="仿宋" w:eastAsia="仿宋" w:cs="仿宋"/>
          <w:sz w:val="32"/>
          <w:szCs w:val="32"/>
          <w:lang w:eastAsia="zh-CN"/>
        </w:rPr>
        <w:t>河北</w:t>
      </w:r>
      <w:r>
        <w:rPr>
          <w:rFonts w:hint="eastAsia" w:ascii="仿宋" w:hAnsi="仿宋" w:eastAsia="仿宋" w:cs="仿宋"/>
          <w:sz w:val="32"/>
          <w:szCs w:val="32"/>
        </w:rPr>
        <w:t>省园林</w:t>
      </w:r>
      <w:r>
        <w:rPr>
          <w:rFonts w:hint="eastAsia" w:ascii="仿宋" w:hAnsi="仿宋" w:eastAsia="仿宋" w:cs="仿宋"/>
          <w:sz w:val="32"/>
          <w:szCs w:val="32"/>
          <w:lang w:eastAsia="zh-CN"/>
        </w:rPr>
        <w:t>行业</w:t>
      </w:r>
      <w:r>
        <w:rPr>
          <w:rFonts w:hint="eastAsia" w:ascii="仿宋" w:hAnsi="仿宋" w:eastAsia="仿宋" w:cs="仿宋"/>
          <w:sz w:val="32"/>
          <w:szCs w:val="32"/>
        </w:rPr>
        <w:t>协会</w:t>
      </w:r>
      <w:r>
        <w:rPr>
          <w:rFonts w:hint="eastAsia" w:ascii="仿宋" w:hAnsi="仿宋" w:eastAsia="仿宋" w:cs="仿宋"/>
          <w:sz w:val="32"/>
          <w:szCs w:val="32"/>
          <w:lang w:eastAsia="zh-CN"/>
        </w:rPr>
        <w:t>理事长</w:t>
      </w:r>
      <w:r>
        <w:rPr>
          <w:rFonts w:hint="eastAsia" w:ascii="仿宋" w:hAnsi="仿宋" w:eastAsia="仿宋" w:cs="仿宋"/>
          <w:sz w:val="32"/>
          <w:szCs w:val="32"/>
        </w:rPr>
        <w:t>办公会议批准后向社会发布。</w:t>
      </w:r>
    </w:p>
    <w:p>
      <w:pPr>
        <w:keepNext w:val="0"/>
        <w:keepLines w:val="0"/>
        <w:pageBreakBefore w:val="0"/>
        <w:wordWrap/>
        <w:overflowPunct/>
        <w:topLinePunct w:val="0"/>
        <w:bidi w:val="0"/>
        <w:adjustRightInd w:val="0"/>
        <w:spacing w:line="600" w:lineRule="exact"/>
        <w:jc w:val="center"/>
        <w:rPr>
          <w:rFonts w:hint="eastAsia" w:ascii="仿宋" w:hAnsi="仿宋" w:eastAsia="仿宋" w:cs="仿宋"/>
          <w:b/>
          <w:sz w:val="32"/>
          <w:szCs w:val="32"/>
        </w:rPr>
      </w:pPr>
      <w:r>
        <w:rPr>
          <w:rFonts w:hint="eastAsia" w:ascii="仿宋" w:hAnsi="仿宋" w:eastAsia="仿宋" w:cs="仿宋"/>
          <w:b/>
          <w:bCs/>
          <w:spacing w:val="8"/>
          <w:sz w:val="32"/>
          <w:szCs w:val="32"/>
        </w:rPr>
        <w:t>第六章 授奖</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hint="eastAsia" w:ascii="仿宋" w:hAnsi="仿宋" w:eastAsia="仿宋" w:cs="仿宋"/>
          <w:sz w:val="32"/>
          <w:szCs w:val="32"/>
        </w:rPr>
        <w:t xml:space="preserve"> 科学技术建造师奖每年授奖人数不超过15名；科学技术青年创新奖每年授奖人数不超过20名；</w:t>
      </w:r>
      <w:r>
        <w:rPr>
          <w:rFonts w:hint="eastAsia" w:ascii="仿宋" w:hAnsi="仿宋" w:eastAsia="仿宋" w:cs="仿宋"/>
          <w:color w:val="000000"/>
          <w:sz w:val="32"/>
          <w:szCs w:val="32"/>
        </w:rPr>
        <w:t>特等奖奖项评选每年不超过2项，一等奖项目占比原则上不超过20%。</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获奖名单在河北省风景园林行业协会官网和微信公众号进行公布，为获奖单位和个人颁发荣誉证书。</w:t>
      </w:r>
    </w:p>
    <w:p>
      <w:pPr>
        <w:pStyle w:val="6"/>
        <w:keepNext w:val="0"/>
        <w:keepLines w:val="0"/>
        <w:pageBreakBefore w:val="0"/>
        <w:wordWrap/>
        <w:overflowPunct/>
        <w:topLinePunct w:val="0"/>
        <w:bidi w:val="0"/>
        <w:adjustRightInd w:val="0"/>
        <w:spacing w:line="600" w:lineRule="exact"/>
        <w:ind w:firstLine="645"/>
        <w:rPr>
          <w:rFonts w:eastAsia="华文仿宋"/>
          <w:sz w:val="28"/>
          <w:szCs w:val="28"/>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 xml:space="preserve">条 </w:t>
      </w:r>
      <w:r>
        <w:rPr>
          <w:rFonts w:hint="eastAsia" w:ascii="仿宋" w:hAnsi="仿宋" w:eastAsia="仿宋" w:cs="仿宋"/>
          <w:bCs/>
          <w:color w:val="auto"/>
          <w:sz w:val="32"/>
          <w:szCs w:val="32"/>
        </w:rPr>
        <w:t>河北省</w:t>
      </w:r>
      <w:r>
        <w:rPr>
          <w:rFonts w:hint="eastAsia" w:ascii="仿宋" w:hAnsi="仿宋" w:eastAsia="仿宋" w:cs="仿宋"/>
          <w:color w:val="auto"/>
          <w:kern w:val="2"/>
          <w:sz w:val="32"/>
          <w:szCs w:val="32"/>
        </w:rPr>
        <w:t>风景园林行业科学技术奖在授奖前应征得授奖对象的同意。</w:t>
      </w:r>
      <w:r>
        <w:rPr>
          <w:rFonts w:hint="eastAsia" w:ascii="华文仿宋" w:hAnsi="华文仿宋" w:eastAsia="华文仿宋"/>
          <w:sz w:val="28"/>
          <w:szCs w:val="28"/>
        </w:rPr>
        <w:t xml:space="preserve">      </w:t>
      </w:r>
    </w:p>
    <w:p>
      <w:pPr>
        <w:keepNext w:val="0"/>
        <w:keepLines w:val="0"/>
        <w:pageBreakBefore w:val="0"/>
        <w:wordWrap/>
        <w:overflowPunct/>
        <w:topLinePunct w:val="0"/>
        <w:bidi w:val="0"/>
        <w:adjustRightInd w:val="0"/>
        <w:spacing w:line="600" w:lineRule="exact"/>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第七章 监督管理</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候选者有可能影响科学技术奖提名和评审公平、公正的活动行为的，取消其参评资格。</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评审委员、评审专家违反科学技术奖评审工作纪律的，将取消其评审委员、评审专家资格。</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获奖者剽窃、侵夺他人的发现、发明或其他科学技术成果，或者以其他不正当手段骗取科学技术奖的，将撤消其奖励，追回奖牌、证书和奖金。</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提名专家、学者、组织机构提供虚假数据、材料，协助他人骗取科学技术奖，根据情节严重的程度，取消其提名资格。</w:t>
      </w:r>
    </w:p>
    <w:p>
      <w:pPr>
        <w:pStyle w:val="6"/>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二十九</w:t>
      </w:r>
      <w:r>
        <w:rPr>
          <w:rFonts w:hint="eastAsia" w:ascii="仿宋" w:hAnsi="仿宋" w:eastAsia="仿宋" w:cs="仿宋"/>
          <w:b/>
          <w:bCs/>
          <w:color w:val="auto"/>
          <w:sz w:val="32"/>
          <w:szCs w:val="32"/>
        </w:rPr>
        <w:t xml:space="preserve">条 </w:t>
      </w:r>
      <w:r>
        <w:rPr>
          <w:rFonts w:hint="eastAsia" w:ascii="仿宋" w:hAnsi="仿宋" w:eastAsia="仿宋" w:cs="仿宋"/>
          <w:color w:val="auto"/>
          <w:kern w:val="2"/>
          <w:sz w:val="32"/>
          <w:szCs w:val="32"/>
        </w:rPr>
        <w:t>科技奖实行评审信誉制度。专家委员会秘书处对参加评审活动的专家建立信誉档案，信誉记录作为专家委员会委员和评审组专家人选的重要依据。</w:t>
      </w:r>
    </w:p>
    <w:p>
      <w:pPr>
        <w:keepNext w:val="0"/>
        <w:keepLines w:val="0"/>
        <w:pageBreakBefore w:val="0"/>
        <w:wordWrap/>
        <w:overflowPunct/>
        <w:topLinePunct w:val="0"/>
        <w:bidi w:val="0"/>
        <w:adjustRightInd w:val="0"/>
        <w:spacing w:line="600" w:lineRule="exact"/>
        <w:jc w:val="center"/>
        <w:rPr>
          <w:rFonts w:hint="eastAsia" w:ascii="华文仿宋" w:hAnsi="华文仿宋" w:eastAsia="华文仿宋"/>
          <w:b/>
          <w:sz w:val="28"/>
          <w:szCs w:val="28"/>
        </w:rPr>
      </w:pPr>
      <w:r>
        <w:rPr>
          <w:rFonts w:hint="eastAsia" w:ascii="仿宋" w:hAnsi="仿宋" w:eastAsia="仿宋" w:cs="仿宋"/>
          <w:b/>
          <w:bCs/>
          <w:spacing w:val="8"/>
          <w:sz w:val="32"/>
          <w:szCs w:val="32"/>
        </w:rPr>
        <w:t>第八章</w:t>
      </w:r>
      <w:r>
        <w:rPr>
          <w:rFonts w:hint="eastAsia" w:ascii="仿宋" w:hAnsi="仿宋" w:eastAsia="仿宋" w:cs="仿宋"/>
          <w:b/>
          <w:bCs/>
          <w:spacing w:val="8"/>
          <w:sz w:val="32"/>
          <w:szCs w:val="32"/>
          <w:lang w:val="en-US" w:eastAsia="zh-CN"/>
        </w:rPr>
        <w:t xml:space="preserve"> </w:t>
      </w:r>
      <w:r>
        <w:rPr>
          <w:rFonts w:hint="eastAsia" w:ascii="仿宋" w:hAnsi="仿宋" w:eastAsia="仿宋" w:cs="仿宋"/>
          <w:b/>
          <w:bCs/>
          <w:spacing w:val="8"/>
          <w:sz w:val="32"/>
          <w:szCs w:val="32"/>
        </w:rPr>
        <w:t>附则</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本章程由</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协会负责解释。</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本章程自发布之日起执行。</w:t>
      </w:r>
    </w:p>
    <w:p>
      <w:pPr>
        <w:pStyle w:val="6"/>
        <w:rPr>
          <w:rFonts w:hint="eastAsia" w:ascii="华文仿宋" w:hAnsi="华文仿宋" w:eastAsia="华文仿宋"/>
          <w:sz w:val="32"/>
          <w:szCs w:val="32"/>
        </w:rPr>
      </w:pPr>
    </w:p>
    <w:sectPr>
      <w:headerReference r:id="rId7" w:type="default"/>
      <w:footerReference r:id="rId8" w:type="default"/>
      <w:pgSz w:w="11900" w:h="16838"/>
      <w:pgMar w:top="2098" w:right="1474" w:bottom="1984" w:left="1587" w:header="850" w:footer="850" w:gutter="0"/>
      <w:pgNumType w:fmt="numberInDash" w:start="1"/>
      <w:cols w:space="0" w:num="1"/>
      <w:rtlGutter w:val="0"/>
      <w:docGrid w:type="linesAndChar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A153DD-4C68-4350-A672-E932B55E4165}"/>
  </w:font>
  <w:font w:name="黑体">
    <w:panose1 w:val="02010609060101010101"/>
    <w:charset w:val="86"/>
    <w:family w:val="auto"/>
    <w:pitch w:val="default"/>
    <w:sig w:usb0="800002BF" w:usb1="38CF7CFA" w:usb2="00000016" w:usb3="00000000" w:csb0="00040001" w:csb1="00000000"/>
    <w:embedRegular r:id="rId2" w:fontKey="{7729F778-35B2-4ECA-8EDA-E0D3006DD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62F52E8-553A-4D1D-9428-5C47623592DB}"/>
  </w:font>
  <w:font w:name="方正小标宋简体">
    <w:panose1 w:val="02000000000000000000"/>
    <w:charset w:val="86"/>
    <w:family w:val="script"/>
    <w:pitch w:val="default"/>
    <w:sig w:usb0="00000001" w:usb1="08000000" w:usb2="00000000" w:usb3="00000000" w:csb0="00040000" w:csb1="00000000"/>
    <w:embedRegular r:id="rId4" w:fontKey="{37E565E7-E870-4CB9-A1A8-42BE9BC32796}"/>
  </w:font>
  <w:font w:name="方正仿宋简体">
    <w:panose1 w:val="02000000000000000000"/>
    <w:charset w:val="86"/>
    <w:family w:val="script"/>
    <w:pitch w:val="default"/>
    <w:sig w:usb0="A00002BF" w:usb1="184F6CFA" w:usb2="00000012" w:usb3="00000000" w:csb0="00040001" w:csb1="00000000"/>
    <w:embedRegular r:id="rId5" w:fontKey="{637FE55D-76D8-4679-AFBB-FCEE20B51E91}"/>
  </w:font>
  <w:font w:name="方正仿宋_GBK">
    <w:panose1 w:val="02000000000000000000"/>
    <w:charset w:val="86"/>
    <w:family w:val="auto"/>
    <w:pitch w:val="default"/>
    <w:sig w:usb0="A00002BF" w:usb1="38CF7CFA" w:usb2="00082016" w:usb3="00000000" w:csb0="00040001" w:csb1="00000000"/>
    <w:embedRegular r:id="rId6" w:fontKey="{E330635E-D9E4-4270-AC1E-DABF6338AEAB}"/>
  </w:font>
  <w:font w:name="仿宋">
    <w:panose1 w:val="02010609060101010101"/>
    <w:charset w:val="86"/>
    <w:family w:val="auto"/>
    <w:pitch w:val="default"/>
    <w:sig w:usb0="800002BF" w:usb1="38CF7CFA" w:usb2="00000016" w:usb3="00000000" w:csb0="00040001" w:csb1="00000000"/>
    <w:embedRegular r:id="rId7" w:fontKey="{9F77DBE3-1F01-46A5-8F74-2362A3F72CEC}"/>
  </w:font>
  <w:font w:name="微软雅黑">
    <w:panose1 w:val="020B0503020204020204"/>
    <w:charset w:val="86"/>
    <w:family w:val="auto"/>
    <w:pitch w:val="default"/>
    <w:sig w:usb0="80000287" w:usb1="2ACF3C50" w:usb2="00000016" w:usb3="00000000" w:csb0="0004001F" w:csb1="00000000"/>
    <w:embedRegular r:id="rId8" w:fontKey="{275A9D65-CF08-47D4-BA60-84396171CE45}"/>
  </w:font>
  <w:font w:name="仿宋_GB2312">
    <w:altName w:val="仿宋"/>
    <w:panose1 w:val="02010609030101010101"/>
    <w:charset w:val="86"/>
    <w:family w:val="modern"/>
    <w:pitch w:val="default"/>
    <w:sig w:usb0="00000000" w:usb1="00000000" w:usb2="00000000" w:usb3="00000000" w:csb0="00040000" w:csb1="00000000"/>
    <w:embedRegular r:id="rId9" w:fontKey="{02676001-284B-4DDB-9C22-6D0699B660F9}"/>
  </w:font>
  <w:font w:name="楷体">
    <w:panose1 w:val="02010609060101010101"/>
    <w:charset w:val="86"/>
    <w:family w:val="modern"/>
    <w:pitch w:val="default"/>
    <w:sig w:usb0="800002BF" w:usb1="38CF7CFA" w:usb2="00000016" w:usb3="00000000" w:csb0="00040001" w:csb1="00000000"/>
    <w:embedRegular r:id="rId10" w:fontKey="{F7BEFFE2-47F5-42EC-8819-811BB921E992}"/>
  </w:font>
  <w:font w:name="华文仿宋">
    <w:panose1 w:val="02010600040101010101"/>
    <w:charset w:val="86"/>
    <w:family w:val="auto"/>
    <w:pitch w:val="default"/>
    <w:sig w:usb0="00000287" w:usb1="080F0000" w:usb2="00000000" w:usb3="00000000" w:csb0="0004009F" w:csb1="DFD70000"/>
    <w:embedRegular r:id="rId11" w:fontKey="{69C42874-49B1-42B5-9D0A-E3FBF23308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150" w:lineRule="auto"/>
      <w:ind w:left="121"/>
      <w:rPr>
        <w:rFonts w:ascii="微软雅黑" w:hAnsi="微软雅黑" w:eastAsia="微软雅黑" w:cs="微软雅黑"/>
        <w:sz w:val="58"/>
        <w:szCs w:val="5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rawingGridHorizontalSpacing w:val="210"/>
  <w:drawingGridVerticalSpacing w:val="159"/>
  <w:displayHorizontalDrawingGridEvery w:val="1"/>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VhN2QxOTAzZjVkNjg4ODBiZWQ4ZjhjM2FiMzg5YzkifQ=="/>
  </w:docVars>
  <w:rsids>
    <w:rsidRoot w:val="00000000"/>
    <w:rsid w:val="07E66262"/>
    <w:rsid w:val="10836C5C"/>
    <w:rsid w:val="12527172"/>
    <w:rsid w:val="2AA44752"/>
    <w:rsid w:val="2C292D76"/>
    <w:rsid w:val="3CB46CDB"/>
    <w:rsid w:val="41852AE4"/>
    <w:rsid w:val="458B048C"/>
    <w:rsid w:val="4B8F6991"/>
    <w:rsid w:val="4BA3274E"/>
    <w:rsid w:val="4EBE64D3"/>
    <w:rsid w:val="4FDC2847"/>
    <w:rsid w:val="50BD52A2"/>
    <w:rsid w:val="52FE7045"/>
    <w:rsid w:val="5C8C5C37"/>
    <w:rsid w:val="6CD16B0B"/>
    <w:rsid w:val="6D9D2257"/>
    <w:rsid w:val="71816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2701</Words>
  <Characters>2727</Characters>
  <TotalTime>44</TotalTime>
  <ScaleCrop>false</ScaleCrop>
  <LinksUpToDate>false</LinksUpToDate>
  <CharactersWithSpaces>2835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2023-07-17T03:16:00Z</dcterms:created>
  <dc:creator>Administrator</dc:creator>
  <cp:lastModifiedBy>王立景</cp:lastModifiedBy>
  <cp:lastPrinted>2023-07-17T05:38:00Z</cp:lastPrinted>
  <dcterms:modified xsi:type="dcterms:W3CDTF">2023-07-20T10:09:05Z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2023-07-17T11:16:06Z</vt:filetime>
  </property>
  <property fmtid="{D5CDD505-2E9C-101B-9397-08002B2CF9AE}" pid="4" name="KSOProductBuildVer">
    <vt:lpwstr>2052-11.1.0.14309</vt:lpwstr>
  </property>
  <property fmtid="{D5CDD505-2E9C-101B-9397-08002B2CF9AE}" pid="5" name="ICV">
    <vt:lpwstr>DFBA221824C94D7188B74F95CC1BCD85_13</vt:lpwstr>
  </property>
</Properties>
</file>